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308E" w:rsidRDefault="00BB308E" w:rsidP="00222C61">
      <w:pPr>
        <w:spacing w:line="600" w:lineRule="exact"/>
        <w:rPr>
          <w:rFonts w:ascii="方正小标宋简体" w:eastAsia="方正小标宋简体" w:hAnsi="宋体"/>
          <w:sz w:val="44"/>
          <w:szCs w:val="44"/>
        </w:rPr>
      </w:pPr>
    </w:p>
    <w:p w:rsidR="00BB308E" w:rsidRPr="00222C61" w:rsidRDefault="00BB308E" w:rsidP="00D66705">
      <w:pPr>
        <w:spacing w:line="1100" w:lineRule="exact"/>
        <w:ind w:firstLineChars="56" w:firstLine="179"/>
        <w:rPr>
          <w:rFonts w:ascii="方正小标宋简体" w:eastAsia="方正小标宋简体" w:hAnsi="宋体"/>
          <w:color w:val="FF0000"/>
          <w:sz w:val="82"/>
          <w:szCs w:val="44"/>
        </w:rPr>
      </w:pPr>
      <w:r>
        <w:rPr>
          <w:noProof/>
        </w:rPr>
        <w:pict>
          <v:shapetype id="_x0000_t202" coordsize="21600,21600" o:spt="202" path="m,l,21600r21600,l21600,xe">
            <v:stroke joinstyle="miter"/>
            <v:path gradientshapeok="t" o:connecttype="rect"/>
          </v:shapetype>
          <v:shape id="_x0000_s1026" type="#_x0000_t202" style="position:absolute;left:0;text-align:left;margin-left:350.25pt;margin-top:9pt;width:108pt;height:85.8pt;z-index:251656704" stroked="f">
            <v:textbox>
              <w:txbxContent>
                <w:p w:rsidR="00BB308E" w:rsidRPr="00222C61" w:rsidRDefault="00BB308E">
                  <w:pPr>
                    <w:rPr>
                      <w:rFonts w:ascii="方正小标宋简体" w:eastAsia="方正小标宋简体"/>
                      <w:color w:val="FF0000"/>
                      <w:w w:val="75"/>
                      <w:sz w:val="112"/>
                    </w:rPr>
                  </w:pPr>
                  <w:r w:rsidRPr="00222C61">
                    <w:rPr>
                      <w:rFonts w:ascii="方正小标宋简体" w:eastAsia="方正小标宋简体" w:hint="eastAsia"/>
                      <w:color w:val="FF0000"/>
                      <w:w w:val="75"/>
                      <w:sz w:val="112"/>
                    </w:rPr>
                    <w:t>文件</w:t>
                  </w:r>
                </w:p>
              </w:txbxContent>
            </v:textbox>
          </v:shape>
        </w:pict>
      </w:r>
      <w:r w:rsidRPr="00222C61">
        <w:rPr>
          <w:rFonts w:ascii="方正小标宋简体" w:eastAsia="方正小标宋简体" w:hAnsi="宋体" w:hint="eastAsia"/>
          <w:color w:val="FF0000"/>
          <w:spacing w:val="20"/>
          <w:sz w:val="82"/>
          <w:szCs w:val="44"/>
        </w:rPr>
        <w:t>津市市人民检察</w:t>
      </w:r>
      <w:r w:rsidRPr="00222C61">
        <w:rPr>
          <w:rFonts w:ascii="方正小标宋简体" w:eastAsia="方正小标宋简体" w:hAnsi="宋体" w:hint="eastAsia"/>
          <w:color w:val="FF0000"/>
          <w:sz w:val="82"/>
          <w:szCs w:val="44"/>
        </w:rPr>
        <w:t>院</w:t>
      </w:r>
    </w:p>
    <w:p w:rsidR="00BB308E" w:rsidRPr="00222C61" w:rsidRDefault="00BB308E" w:rsidP="00D66705">
      <w:pPr>
        <w:spacing w:line="1100" w:lineRule="exact"/>
        <w:ind w:firstLineChars="12" w:firstLine="144"/>
        <w:rPr>
          <w:rFonts w:ascii="方正小标宋简体" w:eastAsia="方正小标宋简体" w:hAnsi="宋体"/>
          <w:color w:val="FF0000"/>
          <w:sz w:val="82"/>
          <w:szCs w:val="44"/>
        </w:rPr>
      </w:pPr>
      <w:r w:rsidRPr="00222C61">
        <w:rPr>
          <w:rFonts w:ascii="方正小标宋简体" w:eastAsia="方正小标宋简体" w:hAnsi="宋体" w:hint="eastAsia"/>
          <w:color w:val="FF0000"/>
          <w:spacing w:val="190"/>
          <w:kern w:val="0"/>
          <w:sz w:val="82"/>
          <w:szCs w:val="44"/>
        </w:rPr>
        <w:t>津市市公安</w:t>
      </w:r>
      <w:r w:rsidRPr="00222C61">
        <w:rPr>
          <w:rFonts w:ascii="方正小标宋简体" w:eastAsia="方正小标宋简体" w:hAnsi="宋体" w:hint="eastAsia"/>
          <w:color w:val="FF0000"/>
          <w:kern w:val="0"/>
          <w:sz w:val="82"/>
          <w:szCs w:val="44"/>
        </w:rPr>
        <w:t>局</w:t>
      </w:r>
    </w:p>
    <w:p w:rsidR="00BB308E" w:rsidRDefault="00BB308E" w:rsidP="00222C61">
      <w:pPr>
        <w:spacing w:line="200" w:lineRule="exact"/>
        <w:jc w:val="center"/>
        <w:rPr>
          <w:rFonts w:ascii="仿宋_GB2312" w:hAnsi="宋体"/>
          <w:szCs w:val="32"/>
        </w:rPr>
      </w:pPr>
    </w:p>
    <w:p w:rsidR="00BB308E" w:rsidRDefault="00BB308E" w:rsidP="00222C61">
      <w:pPr>
        <w:spacing w:line="200" w:lineRule="exact"/>
        <w:jc w:val="center"/>
        <w:rPr>
          <w:rFonts w:ascii="仿宋_GB2312" w:hAnsi="宋体"/>
          <w:szCs w:val="32"/>
        </w:rPr>
      </w:pPr>
    </w:p>
    <w:p w:rsidR="00BB308E" w:rsidRDefault="00BB308E" w:rsidP="00222C61">
      <w:pPr>
        <w:spacing w:line="200" w:lineRule="exact"/>
        <w:jc w:val="center"/>
        <w:rPr>
          <w:rFonts w:ascii="仿宋_GB2312" w:hAnsi="宋体"/>
          <w:szCs w:val="32"/>
        </w:rPr>
      </w:pPr>
    </w:p>
    <w:p w:rsidR="00BB308E" w:rsidRPr="00B34129" w:rsidRDefault="00BB308E" w:rsidP="00B87335">
      <w:pPr>
        <w:spacing w:line="600" w:lineRule="exact"/>
        <w:jc w:val="center"/>
        <w:rPr>
          <w:rFonts w:ascii="仿宋_GB2312" w:hAnsi="宋体"/>
          <w:szCs w:val="32"/>
        </w:rPr>
      </w:pPr>
      <w:r w:rsidRPr="00B34129">
        <w:rPr>
          <w:rFonts w:ascii="仿宋_GB2312" w:hAnsi="宋体" w:hint="eastAsia"/>
          <w:szCs w:val="32"/>
        </w:rPr>
        <w:t>津检发</w:t>
      </w:r>
      <w:r>
        <w:rPr>
          <w:rFonts w:ascii="仿宋_GB2312" w:hAnsi="宋体" w:hint="eastAsia"/>
          <w:szCs w:val="32"/>
        </w:rPr>
        <w:t>〔</w:t>
      </w:r>
      <w:r w:rsidRPr="00550FD1">
        <w:rPr>
          <w:szCs w:val="32"/>
        </w:rPr>
        <w:t>2021</w:t>
      </w:r>
      <w:r>
        <w:rPr>
          <w:rFonts w:ascii="仿宋_GB2312" w:hint="eastAsia"/>
          <w:szCs w:val="32"/>
        </w:rPr>
        <w:t>〕</w:t>
      </w:r>
      <w:r w:rsidRPr="00550FD1">
        <w:rPr>
          <w:szCs w:val="32"/>
        </w:rPr>
        <w:t>14</w:t>
      </w:r>
      <w:r w:rsidRPr="00550FD1">
        <w:rPr>
          <w:rFonts w:hint="eastAsia"/>
          <w:szCs w:val="32"/>
        </w:rPr>
        <w:t>号</w:t>
      </w:r>
    </w:p>
    <w:p w:rsidR="00BB308E" w:rsidRPr="00222C61" w:rsidRDefault="00BB308E" w:rsidP="00222C61">
      <w:pPr>
        <w:spacing w:line="540" w:lineRule="exact"/>
        <w:jc w:val="center"/>
        <w:rPr>
          <w:rFonts w:ascii="宋体" w:eastAsia="宋体"/>
          <w:b/>
          <w:color w:val="FF0000"/>
          <w:sz w:val="44"/>
        </w:rPr>
      </w:pPr>
      <w:r>
        <w:rPr>
          <w:noProof/>
        </w:rPr>
        <w:pict>
          <v:line id="_x0000_s1027" style="position:absolute;left:0;text-align:left;z-index:251658752;mso-position-horizontal-relative:page" from="315.85pt,12.8pt" to="517.55pt,12.8pt" strokecolor="red" strokeweight="2.3pt">
            <w10:wrap anchorx="page"/>
          </v:line>
        </w:pict>
      </w:r>
      <w:r>
        <w:rPr>
          <w:noProof/>
        </w:rPr>
        <w:pict>
          <v:line id="_x0000_s1028" style="position:absolute;left:0;text-align:left;z-index:251657728;mso-position-horizontal-relative:page" from="76.55pt,12.75pt" to="278.25pt,12.75pt" strokecolor="red" strokeweight="2.3pt">
            <w10:wrap anchorx="page"/>
          </v:line>
        </w:pict>
      </w:r>
      <w:r w:rsidRPr="00222C61">
        <w:rPr>
          <w:rFonts w:ascii="宋体" w:eastAsia="宋体" w:hint="eastAsia"/>
          <w:b/>
          <w:color w:val="FF0000"/>
          <w:w w:val="99"/>
          <w:sz w:val="44"/>
        </w:rPr>
        <w:t>★</w:t>
      </w:r>
    </w:p>
    <w:p w:rsidR="00BB308E" w:rsidRDefault="00BB308E" w:rsidP="00222C61">
      <w:pPr>
        <w:rPr>
          <w:rFonts w:eastAsia="宋体"/>
        </w:rPr>
      </w:pPr>
    </w:p>
    <w:p w:rsidR="00BB308E" w:rsidRPr="00D66705" w:rsidRDefault="00BB308E" w:rsidP="00D66705">
      <w:pPr>
        <w:spacing w:line="600" w:lineRule="exact"/>
        <w:ind w:rightChars="-60" w:right="-192"/>
        <w:jc w:val="center"/>
        <w:rPr>
          <w:rFonts w:ascii="方正小标宋简体" w:eastAsia="方正小标宋简体" w:hAnsi="宋体"/>
          <w:sz w:val="44"/>
          <w:szCs w:val="44"/>
        </w:rPr>
      </w:pPr>
      <w:r w:rsidRPr="00D66705">
        <w:rPr>
          <w:rFonts w:ascii="方正小标宋简体" w:eastAsia="方正小标宋简体" w:hAnsi="宋体" w:hint="eastAsia"/>
          <w:sz w:val="44"/>
          <w:szCs w:val="44"/>
        </w:rPr>
        <w:t>津市市人民检察院</w:t>
      </w:r>
    </w:p>
    <w:p w:rsidR="00BB308E" w:rsidRPr="00D66705" w:rsidRDefault="00BB308E" w:rsidP="00D66705">
      <w:pPr>
        <w:spacing w:line="600" w:lineRule="exact"/>
        <w:ind w:rightChars="-60" w:right="-192"/>
        <w:jc w:val="center"/>
        <w:rPr>
          <w:rFonts w:ascii="方正小标宋简体" w:eastAsia="方正小标宋简体" w:hAnsi="宋体"/>
          <w:sz w:val="44"/>
          <w:szCs w:val="44"/>
        </w:rPr>
      </w:pPr>
      <w:r w:rsidRPr="00D66705">
        <w:rPr>
          <w:rFonts w:ascii="方正小标宋简体" w:eastAsia="方正小标宋简体" w:hAnsi="宋体" w:hint="eastAsia"/>
          <w:spacing w:val="88"/>
          <w:kern w:val="0"/>
          <w:sz w:val="44"/>
          <w:szCs w:val="44"/>
          <w:fitText w:val="3520" w:id="-1757122048"/>
        </w:rPr>
        <w:t>津市市公安</w:t>
      </w:r>
      <w:r w:rsidRPr="00D66705">
        <w:rPr>
          <w:rFonts w:ascii="方正小标宋简体" w:eastAsia="方正小标宋简体" w:hAnsi="宋体" w:hint="eastAsia"/>
          <w:kern w:val="0"/>
          <w:sz w:val="44"/>
          <w:szCs w:val="44"/>
          <w:fitText w:val="3520" w:id="-1757122048"/>
        </w:rPr>
        <w:t>局</w:t>
      </w:r>
    </w:p>
    <w:p w:rsidR="00BB308E" w:rsidRPr="009D3DEE" w:rsidRDefault="00BB308E" w:rsidP="00B87335">
      <w:pPr>
        <w:spacing w:line="600" w:lineRule="exact"/>
        <w:ind w:rightChars="-60" w:right="-192"/>
        <w:jc w:val="center"/>
        <w:rPr>
          <w:rFonts w:ascii="方正小标宋简体" w:eastAsia="方正小标宋简体"/>
          <w:sz w:val="44"/>
          <w:szCs w:val="44"/>
        </w:rPr>
      </w:pPr>
      <w:r>
        <w:rPr>
          <w:rFonts w:ascii="方正小标宋简体" w:eastAsia="方正小标宋简体" w:hAnsi="宋体" w:hint="eastAsia"/>
          <w:sz w:val="44"/>
          <w:szCs w:val="44"/>
        </w:rPr>
        <w:t>关于加强侦查活动</w:t>
      </w:r>
      <w:r w:rsidRPr="009D3DEE">
        <w:rPr>
          <w:rFonts w:ascii="方正小标宋简体" w:eastAsia="方正小标宋简体" w:hAnsi="宋体" w:hint="eastAsia"/>
          <w:sz w:val="44"/>
          <w:szCs w:val="44"/>
        </w:rPr>
        <w:t>监督的意见</w:t>
      </w:r>
    </w:p>
    <w:p w:rsidR="00BB308E" w:rsidRPr="00195EE1" w:rsidRDefault="00BB308E" w:rsidP="00B87335">
      <w:pPr>
        <w:spacing w:line="600" w:lineRule="exact"/>
        <w:ind w:firstLineChars="200" w:firstLine="640"/>
        <w:rPr>
          <w:szCs w:val="32"/>
        </w:rPr>
      </w:pPr>
    </w:p>
    <w:p w:rsidR="00BB308E" w:rsidRPr="00195EE1" w:rsidRDefault="00BB308E" w:rsidP="00222C61">
      <w:pPr>
        <w:pStyle w:val="ListParagraph1"/>
        <w:spacing w:line="580" w:lineRule="exact"/>
        <w:ind w:firstLine="640"/>
        <w:rPr>
          <w:rFonts w:ascii="Times New Roman" w:eastAsia="仿宋_GB2312" w:hAnsi="Times New Roman" w:cs="Times New Roman"/>
          <w:sz w:val="32"/>
          <w:szCs w:val="32"/>
        </w:rPr>
      </w:pPr>
      <w:r w:rsidRPr="00195EE1">
        <w:rPr>
          <w:rFonts w:ascii="Times New Roman" w:eastAsia="仿宋_GB2312" w:hAnsi="Times New Roman" w:cs="Times New Roman" w:hint="eastAsia"/>
          <w:sz w:val="32"/>
          <w:szCs w:val="32"/>
        </w:rPr>
        <w:t>根据《中华人民共和国刑事诉讼法》、《人民检察院刑事诉讼规则》、《公安机关办理刑事案件程序规定》等相关法律、文件规定，健全检察机关对公安</w:t>
      </w:r>
      <w:r>
        <w:rPr>
          <w:rFonts w:ascii="Times New Roman" w:eastAsia="仿宋_GB2312" w:hAnsi="Times New Roman" w:cs="Times New Roman" w:hint="eastAsia"/>
          <w:sz w:val="32"/>
          <w:szCs w:val="32"/>
        </w:rPr>
        <w:t>机关</w:t>
      </w:r>
      <w:r w:rsidRPr="00195EE1">
        <w:rPr>
          <w:rFonts w:ascii="Times New Roman" w:eastAsia="仿宋_GB2312" w:hAnsi="Times New Roman" w:cs="Times New Roman" w:hint="eastAsia"/>
          <w:sz w:val="32"/>
          <w:szCs w:val="32"/>
        </w:rPr>
        <w:t>法律监督机制，切实提高</w:t>
      </w:r>
      <w:r>
        <w:rPr>
          <w:rFonts w:ascii="Times New Roman" w:eastAsia="仿宋_GB2312" w:hAnsi="Times New Roman" w:cs="Times New Roman" w:hint="eastAsia"/>
          <w:sz w:val="32"/>
          <w:szCs w:val="32"/>
        </w:rPr>
        <w:t>公安机关</w:t>
      </w:r>
      <w:r w:rsidRPr="00195EE1">
        <w:rPr>
          <w:rFonts w:ascii="Times New Roman" w:eastAsia="仿宋_GB2312" w:hAnsi="Times New Roman" w:cs="Times New Roman" w:hint="eastAsia"/>
          <w:sz w:val="32"/>
          <w:szCs w:val="32"/>
        </w:rPr>
        <w:t>的案件质量，维护司法公正。现结合我</w:t>
      </w:r>
      <w:r>
        <w:rPr>
          <w:rFonts w:ascii="Times New Roman" w:eastAsia="仿宋_GB2312" w:hAnsi="Times New Roman" w:cs="Times New Roman" w:hint="eastAsia"/>
          <w:sz w:val="32"/>
          <w:szCs w:val="32"/>
        </w:rPr>
        <w:t>市</w:t>
      </w:r>
      <w:r w:rsidRPr="00195EE1">
        <w:rPr>
          <w:rFonts w:ascii="Times New Roman" w:eastAsia="仿宋_GB2312" w:hAnsi="Times New Roman" w:cs="Times New Roman" w:hint="eastAsia"/>
          <w:sz w:val="32"/>
          <w:szCs w:val="32"/>
        </w:rPr>
        <w:t>工作实际，制定本意见。</w:t>
      </w:r>
    </w:p>
    <w:p w:rsidR="00BB308E" w:rsidRPr="00CB05F8" w:rsidRDefault="00BB308E" w:rsidP="00222C61">
      <w:pPr>
        <w:spacing w:line="580" w:lineRule="exact"/>
        <w:ind w:firstLineChars="200" w:firstLine="640"/>
        <w:rPr>
          <w:rFonts w:ascii="黑体" w:eastAsia="黑体" w:hAnsi="黑体"/>
          <w:szCs w:val="32"/>
        </w:rPr>
      </w:pPr>
      <w:r w:rsidRPr="00CB05F8">
        <w:rPr>
          <w:rFonts w:ascii="黑体" w:eastAsia="黑体" w:hAnsi="黑体" w:hint="eastAsia"/>
          <w:szCs w:val="32"/>
        </w:rPr>
        <w:t>一、监督原则</w:t>
      </w:r>
    </w:p>
    <w:p w:rsidR="00BB308E" w:rsidRPr="00195EE1" w:rsidRDefault="00BB308E" w:rsidP="00222C61">
      <w:pPr>
        <w:spacing w:line="580" w:lineRule="exact"/>
        <w:ind w:firstLineChars="200" w:firstLine="640"/>
        <w:rPr>
          <w:szCs w:val="32"/>
        </w:rPr>
      </w:pPr>
      <w:r w:rsidRPr="00195EE1">
        <w:rPr>
          <w:rFonts w:hint="eastAsia"/>
          <w:szCs w:val="32"/>
        </w:rPr>
        <w:t>检察机关对公安</w:t>
      </w:r>
      <w:r>
        <w:rPr>
          <w:rFonts w:hint="eastAsia"/>
          <w:szCs w:val="32"/>
        </w:rPr>
        <w:t>机关</w:t>
      </w:r>
      <w:r w:rsidRPr="00195EE1">
        <w:rPr>
          <w:rFonts w:hint="eastAsia"/>
          <w:szCs w:val="32"/>
        </w:rPr>
        <w:t>的法律监督，应当坚持依法监督、实事求是、严格保密的原则。</w:t>
      </w:r>
    </w:p>
    <w:p w:rsidR="00BB308E" w:rsidRPr="00CB05F8" w:rsidRDefault="00BB308E" w:rsidP="00222C61">
      <w:pPr>
        <w:tabs>
          <w:tab w:val="left" w:pos="6120"/>
        </w:tabs>
        <w:spacing w:line="580" w:lineRule="exact"/>
        <w:ind w:firstLineChars="200" w:firstLine="640"/>
        <w:rPr>
          <w:rFonts w:ascii="黑体" w:eastAsia="黑体" w:hAnsi="黑体"/>
          <w:szCs w:val="32"/>
        </w:rPr>
      </w:pPr>
      <w:r w:rsidRPr="00CB05F8">
        <w:rPr>
          <w:rFonts w:ascii="黑体" w:eastAsia="黑体" w:hAnsi="黑体" w:hint="eastAsia"/>
          <w:szCs w:val="32"/>
        </w:rPr>
        <w:t>二、监督范围</w:t>
      </w:r>
      <w:r w:rsidRPr="00CB05F8">
        <w:rPr>
          <w:rFonts w:ascii="黑体" w:eastAsia="黑体" w:hAnsi="黑体"/>
          <w:szCs w:val="32"/>
        </w:rPr>
        <w:tab/>
      </w:r>
    </w:p>
    <w:p w:rsidR="00BB308E" w:rsidRPr="00195EE1" w:rsidRDefault="00BB308E" w:rsidP="00222C61">
      <w:pPr>
        <w:spacing w:line="580" w:lineRule="exact"/>
        <w:ind w:firstLineChars="200" w:firstLine="640"/>
        <w:rPr>
          <w:szCs w:val="32"/>
        </w:rPr>
      </w:pPr>
      <w:r>
        <w:rPr>
          <w:rFonts w:hint="eastAsia"/>
          <w:szCs w:val="32"/>
        </w:rPr>
        <w:t>市</w:t>
      </w:r>
      <w:r w:rsidRPr="00195EE1">
        <w:rPr>
          <w:rFonts w:hint="eastAsia"/>
          <w:szCs w:val="32"/>
        </w:rPr>
        <w:t>检察院</w:t>
      </w:r>
      <w:r>
        <w:rPr>
          <w:rFonts w:hint="eastAsia"/>
          <w:szCs w:val="32"/>
        </w:rPr>
        <w:t>第一检察部</w:t>
      </w:r>
      <w:r w:rsidRPr="00195EE1">
        <w:rPr>
          <w:rFonts w:hint="eastAsia"/>
          <w:szCs w:val="32"/>
        </w:rPr>
        <w:t>依法对</w:t>
      </w:r>
      <w:r>
        <w:rPr>
          <w:rFonts w:hint="eastAsia"/>
          <w:szCs w:val="32"/>
        </w:rPr>
        <w:t>市</w:t>
      </w:r>
      <w:r w:rsidRPr="00195EE1">
        <w:rPr>
          <w:rFonts w:hint="eastAsia"/>
          <w:szCs w:val="32"/>
        </w:rPr>
        <w:t>公安</w:t>
      </w:r>
      <w:r>
        <w:rPr>
          <w:rFonts w:hint="eastAsia"/>
          <w:szCs w:val="32"/>
        </w:rPr>
        <w:t>局</w:t>
      </w:r>
      <w:r w:rsidRPr="00195EE1">
        <w:rPr>
          <w:rFonts w:hint="eastAsia"/>
          <w:szCs w:val="32"/>
        </w:rPr>
        <w:t>的刑事侦查活动进行监督。</w:t>
      </w:r>
    </w:p>
    <w:p w:rsidR="00BB308E" w:rsidRPr="00E566EF" w:rsidRDefault="00BB308E" w:rsidP="00222C61">
      <w:pPr>
        <w:spacing w:line="580" w:lineRule="exact"/>
        <w:ind w:firstLineChars="200" w:firstLine="640"/>
        <w:rPr>
          <w:szCs w:val="32"/>
        </w:rPr>
      </w:pPr>
      <w:r w:rsidRPr="00E566EF">
        <w:rPr>
          <w:szCs w:val="32"/>
        </w:rPr>
        <w:t>1.</w:t>
      </w:r>
      <w:r w:rsidRPr="00E566EF">
        <w:rPr>
          <w:rFonts w:hint="eastAsia"/>
          <w:szCs w:val="32"/>
        </w:rPr>
        <w:t>应当立案而不立案，将刑事案件违法降格处理的；</w:t>
      </w:r>
    </w:p>
    <w:p w:rsidR="00BB308E" w:rsidRPr="00C51198" w:rsidRDefault="00BB308E" w:rsidP="00222C61">
      <w:pPr>
        <w:spacing w:line="580" w:lineRule="exact"/>
        <w:ind w:firstLineChars="200" w:firstLine="640"/>
        <w:rPr>
          <w:szCs w:val="32"/>
        </w:rPr>
      </w:pPr>
      <w:r w:rsidRPr="00C51198">
        <w:rPr>
          <w:szCs w:val="32"/>
        </w:rPr>
        <w:t>2.</w:t>
      </w:r>
      <w:r w:rsidRPr="00C51198">
        <w:rPr>
          <w:rFonts w:hint="eastAsia"/>
          <w:szCs w:val="32"/>
        </w:rPr>
        <w:t>不应当立案而错误立案侦查的；</w:t>
      </w:r>
    </w:p>
    <w:p w:rsidR="00BB308E" w:rsidRPr="00195EE1" w:rsidRDefault="00BB308E" w:rsidP="00222C61">
      <w:pPr>
        <w:spacing w:line="580" w:lineRule="exact"/>
        <w:ind w:firstLineChars="200" w:firstLine="640"/>
        <w:rPr>
          <w:szCs w:val="32"/>
        </w:rPr>
      </w:pPr>
      <w:r>
        <w:rPr>
          <w:szCs w:val="32"/>
        </w:rPr>
        <w:t>3.</w:t>
      </w:r>
      <w:r w:rsidRPr="00195EE1">
        <w:rPr>
          <w:rFonts w:hint="eastAsia"/>
          <w:szCs w:val="32"/>
        </w:rPr>
        <w:t>对另案处理、在逃以及捕后变更强制措施的人员未采取进一步的侦查措施或强制措施执行不到位的；</w:t>
      </w:r>
    </w:p>
    <w:p w:rsidR="00BB308E" w:rsidRDefault="00BB308E" w:rsidP="00222C61">
      <w:pPr>
        <w:spacing w:line="580" w:lineRule="exact"/>
        <w:ind w:firstLineChars="200" w:firstLine="640"/>
        <w:rPr>
          <w:szCs w:val="32"/>
        </w:rPr>
      </w:pPr>
      <w:r>
        <w:rPr>
          <w:szCs w:val="32"/>
        </w:rPr>
        <w:t>4.</w:t>
      </w:r>
      <w:r>
        <w:rPr>
          <w:rFonts w:hint="eastAsia"/>
          <w:szCs w:val="32"/>
        </w:rPr>
        <w:t>对于应当提请批准逮捕或移送起诉人员而未提请批准逮捕或移送起诉的；</w:t>
      </w:r>
    </w:p>
    <w:p w:rsidR="00BB308E" w:rsidRPr="00C51198" w:rsidRDefault="00BB308E" w:rsidP="00222C61">
      <w:pPr>
        <w:spacing w:line="580" w:lineRule="exact"/>
        <w:ind w:firstLineChars="200" w:firstLine="640"/>
        <w:rPr>
          <w:szCs w:val="32"/>
        </w:rPr>
      </w:pPr>
      <w:r w:rsidRPr="00C51198">
        <w:rPr>
          <w:szCs w:val="32"/>
        </w:rPr>
        <w:t>5.</w:t>
      </w:r>
      <w:r w:rsidRPr="00C51198">
        <w:rPr>
          <w:rFonts w:hint="eastAsia"/>
          <w:szCs w:val="32"/>
        </w:rPr>
        <w:t>侦查人员在侦查活动中有非法取证等违法行为的</w:t>
      </w:r>
      <w:r w:rsidRPr="00C51198">
        <w:rPr>
          <w:szCs w:val="32"/>
        </w:rPr>
        <w:t>;</w:t>
      </w:r>
    </w:p>
    <w:p w:rsidR="00BB308E" w:rsidRDefault="00BB308E" w:rsidP="00222C61">
      <w:pPr>
        <w:spacing w:line="580" w:lineRule="exact"/>
        <w:ind w:firstLineChars="200" w:firstLine="640"/>
        <w:rPr>
          <w:szCs w:val="32"/>
        </w:rPr>
      </w:pPr>
      <w:r>
        <w:rPr>
          <w:szCs w:val="32"/>
        </w:rPr>
        <w:t>6.</w:t>
      </w:r>
      <w:r w:rsidRPr="00195EE1">
        <w:rPr>
          <w:rFonts w:hint="eastAsia"/>
          <w:szCs w:val="32"/>
        </w:rPr>
        <w:t>对存疑不捕或批捕后要求继续侦查，但</w:t>
      </w:r>
      <w:r>
        <w:rPr>
          <w:rFonts w:hint="eastAsia"/>
          <w:szCs w:val="32"/>
        </w:rPr>
        <w:t>公安机关</w:t>
      </w:r>
      <w:r w:rsidRPr="009C1C3E">
        <w:rPr>
          <w:rFonts w:hint="eastAsia"/>
          <w:szCs w:val="32"/>
        </w:rPr>
        <w:t>未按规定</w:t>
      </w:r>
      <w:r w:rsidRPr="00195EE1">
        <w:rPr>
          <w:rFonts w:hint="eastAsia"/>
          <w:szCs w:val="32"/>
        </w:rPr>
        <w:t>侦查或侦查不到位的</w:t>
      </w:r>
      <w:r>
        <w:rPr>
          <w:rFonts w:hint="eastAsia"/>
          <w:szCs w:val="32"/>
        </w:rPr>
        <w:t>；</w:t>
      </w:r>
    </w:p>
    <w:p w:rsidR="00BB308E" w:rsidRPr="00195EE1" w:rsidRDefault="00BB308E" w:rsidP="00222C61">
      <w:pPr>
        <w:spacing w:line="580" w:lineRule="exact"/>
        <w:ind w:firstLineChars="200" w:firstLine="640"/>
        <w:rPr>
          <w:szCs w:val="32"/>
        </w:rPr>
      </w:pPr>
      <w:r>
        <w:rPr>
          <w:szCs w:val="32"/>
        </w:rPr>
        <w:t>7.</w:t>
      </w:r>
      <w:r>
        <w:rPr>
          <w:rFonts w:hint="eastAsia"/>
          <w:szCs w:val="32"/>
        </w:rPr>
        <w:t>对检察机关依法追捕、追诉</w:t>
      </w:r>
      <w:r w:rsidRPr="003B031C">
        <w:rPr>
          <w:rFonts w:hint="eastAsia"/>
          <w:szCs w:val="32"/>
        </w:rPr>
        <w:t>的决定，</w:t>
      </w:r>
      <w:r>
        <w:rPr>
          <w:rFonts w:hint="eastAsia"/>
          <w:szCs w:val="32"/>
        </w:rPr>
        <w:t>公安机关未及时提请批准逮捕或移送审查起诉的。</w:t>
      </w:r>
    </w:p>
    <w:p w:rsidR="00BB308E" w:rsidRPr="00CB05F8" w:rsidRDefault="00BB308E" w:rsidP="00222C61">
      <w:pPr>
        <w:tabs>
          <w:tab w:val="left" w:pos="6120"/>
        </w:tabs>
        <w:spacing w:line="580" w:lineRule="exact"/>
        <w:ind w:firstLineChars="200" w:firstLine="640"/>
        <w:rPr>
          <w:rFonts w:ascii="黑体" w:eastAsia="黑体" w:hAnsi="黑体"/>
          <w:szCs w:val="32"/>
        </w:rPr>
      </w:pPr>
      <w:r w:rsidRPr="00CB05F8">
        <w:rPr>
          <w:rFonts w:ascii="黑体" w:eastAsia="黑体" w:hAnsi="黑体" w:hint="eastAsia"/>
          <w:szCs w:val="32"/>
        </w:rPr>
        <w:t>三、监督方法</w:t>
      </w:r>
    </w:p>
    <w:p w:rsidR="00BB308E" w:rsidRPr="00195EE1" w:rsidRDefault="00BB308E" w:rsidP="00222C61">
      <w:pPr>
        <w:spacing w:line="580" w:lineRule="exact"/>
        <w:ind w:firstLineChars="200" w:firstLine="640"/>
        <w:rPr>
          <w:szCs w:val="32"/>
        </w:rPr>
      </w:pPr>
      <w:r w:rsidRPr="00195EE1">
        <w:rPr>
          <w:szCs w:val="32"/>
        </w:rPr>
        <w:t>1.</w:t>
      </w:r>
      <w:r w:rsidRPr="00195EE1">
        <w:rPr>
          <w:rFonts w:hint="eastAsia"/>
          <w:szCs w:val="32"/>
        </w:rPr>
        <w:t>对于应当立案而不立案的案件，检察机关监督刑事立案；对不应当立案而立案的案件，检察机关监督撤销案件。</w:t>
      </w:r>
    </w:p>
    <w:p w:rsidR="00BB308E" w:rsidRPr="003A70AF" w:rsidRDefault="00BB308E" w:rsidP="00222C61">
      <w:pPr>
        <w:spacing w:line="580" w:lineRule="exact"/>
        <w:ind w:firstLineChars="200" w:firstLine="640"/>
        <w:rPr>
          <w:szCs w:val="32"/>
        </w:rPr>
      </w:pPr>
      <w:r w:rsidRPr="00195EE1">
        <w:rPr>
          <w:szCs w:val="32"/>
        </w:rPr>
        <w:t>2.</w:t>
      </w:r>
      <w:r>
        <w:rPr>
          <w:rFonts w:hint="eastAsia"/>
          <w:szCs w:val="32"/>
        </w:rPr>
        <w:t>对于应当提请批准逮捕或移送审查起诉人员而未提请批准逮捕或移送审查起诉的，检察机关应当发出《应当逮捕犯罪嫌疑人建议书》或《补充移送起诉通知书》，要求公安及时提请批准逮捕或移送审查起诉。</w:t>
      </w:r>
    </w:p>
    <w:p w:rsidR="00BB308E" w:rsidRDefault="00BB308E" w:rsidP="00222C61">
      <w:pPr>
        <w:spacing w:line="580" w:lineRule="exact"/>
        <w:ind w:firstLineChars="200" w:firstLine="640"/>
        <w:rPr>
          <w:szCs w:val="32"/>
        </w:rPr>
      </w:pPr>
      <w:r w:rsidRPr="00195EE1">
        <w:rPr>
          <w:szCs w:val="32"/>
        </w:rPr>
        <w:t>3.</w:t>
      </w:r>
      <w:r>
        <w:rPr>
          <w:rFonts w:hint="eastAsia"/>
          <w:szCs w:val="32"/>
        </w:rPr>
        <w:t>检察机关</w:t>
      </w:r>
      <w:r w:rsidRPr="00195EE1">
        <w:rPr>
          <w:rFonts w:hint="eastAsia"/>
          <w:szCs w:val="32"/>
        </w:rPr>
        <w:t>发现公安</w:t>
      </w:r>
      <w:r>
        <w:rPr>
          <w:rFonts w:hint="eastAsia"/>
          <w:szCs w:val="32"/>
        </w:rPr>
        <w:t>机关</w:t>
      </w:r>
      <w:r w:rsidRPr="00195EE1">
        <w:rPr>
          <w:rFonts w:hint="eastAsia"/>
          <w:szCs w:val="32"/>
        </w:rPr>
        <w:t>侦查人员故意实施《人民检察院刑事诉讼规则》第五百六十</w:t>
      </w:r>
      <w:r>
        <w:rPr>
          <w:rFonts w:hint="eastAsia"/>
          <w:szCs w:val="32"/>
        </w:rPr>
        <w:t>七</w:t>
      </w:r>
      <w:r w:rsidRPr="00195EE1">
        <w:rPr>
          <w:rFonts w:hint="eastAsia"/>
          <w:szCs w:val="32"/>
        </w:rPr>
        <w:t>条规定的违法行为</w:t>
      </w:r>
      <w:r>
        <w:rPr>
          <w:rFonts w:hint="eastAsia"/>
          <w:szCs w:val="32"/>
        </w:rPr>
        <w:t>，其中</w:t>
      </w:r>
      <w:r w:rsidRPr="00195EE1">
        <w:rPr>
          <w:rFonts w:hint="eastAsia"/>
          <w:szCs w:val="32"/>
        </w:rPr>
        <w:t>违法手段较为恶劣，情节、后果较为严重或者多次有违法行为而不纠正的，应当发出《纠正违法通知书》加以纠正。构成犯罪的，移送有关部门依法追究刑事责任。</w:t>
      </w:r>
    </w:p>
    <w:p w:rsidR="00BB308E" w:rsidRPr="00195EE1" w:rsidRDefault="00BB308E" w:rsidP="00222C61">
      <w:pPr>
        <w:spacing w:line="580" w:lineRule="exact"/>
        <w:ind w:firstLineChars="200" w:firstLine="640"/>
        <w:rPr>
          <w:szCs w:val="32"/>
        </w:rPr>
      </w:pPr>
      <w:r w:rsidRPr="00195EE1">
        <w:rPr>
          <w:rFonts w:hint="eastAsia"/>
          <w:szCs w:val="32"/>
        </w:rPr>
        <w:t>对于情节较轻的，可以由检察人员以口头方式向侦查人员或者</w:t>
      </w:r>
      <w:r>
        <w:rPr>
          <w:rFonts w:hint="eastAsia"/>
          <w:szCs w:val="32"/>
        </w:rPr>
        <w:t>公安机关法制部门</w:t>
      </w:r>
      <w:r w:rsidRPr="00195EE1">
        <w:rPr>
          <w:rFonts w:hint="eastAsia"/>
          <w:szCs w:val="32"/>
        </w:rPr>
        <w:t>负责人提出纠正意见，并及时向</w:t>
      </w:r>
      <w:r>
        <w:rPr>
          <w:rFonts w:hint="eastAsia"/>
          <w:szCs w:val="32"/>
        </w:rPr>
        <w:t>第一检察部</w:t>
      </w:r>
      <w:r w:rsidRPr="00195EE1">
        <w:rPr>
          <w:rFonts w:hint="eastAsia"/>
          <w:szCs w:val="32"/>
        </w:rPr>
        <w:t>负责人汇报，必要的时候，由</w:t>
      </w:r>
      <w:r>
        <w:rPr>
          <w:rFonts w:hint="eastAsia"/>
          <w:szCs w:val="32"/>
        </w:rPr>
        <w:t>第一检察部</w:t>
      </w:r>
      <w:r w:rsidRPr="00195EE1">
        <w:rPr>
          <w:rFonts w:hint="eastAsia"/>
          <w:szCs w:val="32"/>
        </w:rPr>
        <w:t>负责人提出。</w:t>
      </w:r>
    </w:p>
    <w:p w:rsidR="00BB308E" w:rsidRPr="00195EE1" w:rsidRDefault="00BB308E" w:rsidP="00222C61">
      <w:pPr>
        <w:spacing w:line="580" w:lineRule="exact"/>
        <w:ind w:firstLineChars="200" w:firstLine="640"/>
        <w:rPr>
          <w:szCs w:val="32"/>
        </w:rPr>
      </w:pPr>
      <w:r w:rsidRPr="00195EE1">
        <w:rPr>
          <w:rFonts w:hint="eastAsia"/>
          <w:szCs w:val="32"/>
        </w:rPr>
        <w:t>对有侦查违法行为的</w:t>
      </w:r>
      <w:r>
        <w:rPr>
          <w:rFonts w:hint="eastAsia"/>
          <w:szCs w:val="32"/>
        </w:rPr>
        <w:t>办案</w:t>
      </w:r>
      <w:r w:rsidRPr="00195EE1">
        <w:rPr>
          <w:rFonts w:hint="eastAsia"/>
          <w:szCs w:val="32"/>
        </w:rPr>
        <w:t>人员，继续承办案件</w:t>
      </w:r>
      <w:r>
        <w:rPr>
          <w:rFonts w:hint="eastAsia"/>
          <w:szCs w:val="32"/>
        </w:rPr>
        <w:t>可能</w:t>
      </w:r>
      <w:r w:rsidRPr="00195EE1">
        <w:rPr>
          <w:rFonts w:hint="eastAsia"/>
          <w:szCs w:val="32"/>
        </w:rPr>
        <w:t>严重影响诉讼依法公正进行的，检察机关应当向公安机关提出更换办案人</w:t>
      </w:r>
      <w:r>
        <w:rPr>
          <w:rFonts w:hint="eastAsia"/>
          <w:szCs w:val="32"/>
        </w:rPr>
        <w:t>员</w:t>
      </w:r>
      <w:r w:rsidRPr="00195EE1">
        <w:rPr>
          <w:rFonts w:hint="eastAsia"/>
          <w:szCs w:val="32"/>
        </w:rPr>
        <w:t>的建议。</w:t>
      </w:r>
    </w:p>
    <w:p w:rsidR="00BB308E" w:rsidRPr="00A343B4" w:rsidRDefault="00BB308E" w:rsidP="00222C61">
      <w:pPr>
        <w:spacing w:line="580" w:lineRule="exact"/>
        <w:ind w:firstLineChars="200" w:firstLine="640"/>
        <w:rPr>
          <w:szCs w:val="32"/>
        </w:rPr>
      </w:pPr>
      <w:r>
        <w:rPr>
          <w:szCs w:val="32"/>
        </w:rPr>
        <w:t>4.</w:t>
      </w:r>
      <w:r w:rsidRPr="00195EE1">
        <w:rPr>
          <w:rFonts w:hint="eastAsia"/>
          <w:szCs w:val="32"/>
        </w:rPr>
        <w:t>对存疑不捕或批捕后要求继续侦查，但</w:t>
      </w:r>
      <w:r>
        <w:rPr>
          <w:rFonts w:hint="eastAsia"/>
          <w:szCs w:val="32"/>
        </w:rPr>
        <w:t>公安机关</w:t>
      </w:r>
      <w:r w:rsidRPr="00195EE1">
        <w:rPr>
          <w:rFonts w:hint="eastAsia"/>
          <w:szCs w:val="32"/>
        </w:rPr>
        <w:t>未进一步侦查或侦查不到位的</w:t>
      </w:r>
      <w:r>
        <w:rPr>
          <w:rFonts w:hint="eastAsia"/>
          <w:szCs w:val="32"/>
        </w:rPr>
        <w:t>，可要求公安机关承办人说明理由。检察机关认为理由不成立，可通报公安机关法制部门负责人。</w:t>
      </w:r>
    </w:p>
    <w:p w:rsidR="00BB308E" w:rsidRDefault="00BB308E" w:rsidP="00222C61">
      <w:pPr>
        <w:spacing w:line="580" w:lineRule="exact"/>
        <w:ind w:firstLineChars="200" w:firstLine="640"/>
        <w:rPr>
          <w:szCs w:val="32"/>
        </w:rPr>
      </w:pPr>
      <w:r>
        <w:rPr>
          <w:szCs w:val="32"/>
        </w:rPr>
        <w:t>5.</w:t>
      </w:r>
      <w:r>
        <w:rPr>
          <w:rFonts w:hint="eastAsia"/>
          <w:szCs w:val="32"/>
        </w:rPr>
        <w:t>对检察机关依法追捕、追诉的人员，</w:t>
      </w:r>
      <w:r w:rsidRPr="00195EE1">
        <w:rPr>
          <w:rFonts w:hint="eastAsia"/>
          <w:szCs w:val="32"/>
        </w:rPr>
        <w:t>但</w:t>
      </w:r>
      <w:r>
        <w:rPr>
          <w:rFonts w:hint="eastAsia"/>
          <w:szCs w:val="32"/>
        </w:rPr>
        <w:t>公安机关未及时提请批准逮捕或移送审查起诉的，可要求公安机关承办人说明理由并提供相关资料，检察机关认为理由不成立的，可要求提请批准逮捕或移送审查起诉，并通报公安机关法制办负责人。</w:t>
      </w:r>
    </w:p>
    <w:p w:rsidR="00BB308E" w:rsidRPr="00195EE1" w:rsidRDefault="00BB308E" w:rsidP="00222C61">
      <w:pPr>
        <w:spacing w:line="580" w:lineRule="exact"/>
        <w:ind w:firstLineChars="200" w:firstLine="640"/>
        <w:rPr>
          <w:szCs w:val="32"/>
        </w:rPr>
      </w:pPr>
      <w:r>
        <w:rPr>
          <w:szCs w:val="32"/>
        </w:rPr>
        <w:t>6.</w:t>
      </w:r>
      <w:r>
        <w:rPr>
          <w:rFonts w:hint="eastAsia"/>
          <w:szCs w:val="32"/>
        </w:rPr>
        <w:t>检察机关</w:t>
      </w:r>
      <w:r w:rsidRPr="00195EE1">
        <w:rPr>
          <w:rFonts w:hint="eastAsia"/>
          <w:szCs w:val="32"/>
        </w:rPr>
        <w:t>对在监督过程中发现的共性问题，应当向</w:t>
      </w:r>
      <w:r>
        <w:rPr>
          <w:rFonts w:hint="eastAsia"/>
          <w:szCs w:val="32"/>
        </w:rPr>
        <w:t>公安机关</w:t>
      </w:r>
      <w:r w:rsidRPr="00195EE1">
        <w:rPr>
          <w:rFonts w:hint="eastAsia"/>
          <w:szCs w:val="32"/>
        </w:rPr>
        <w:t>提出检察建议，或采取通报公安</w:t>
      </w:r>
      <w:r>
        <w:rPr>
          <w:rFonts w:hint="eastAsia"/>
          <w:szCs w:val="32"/>
        </w:rPr>
        <w:t>机关</w:t>
      </w:r>
      <w:r w:rsidRPr="00195EE1">
        <w:rPr>
          <w:rFonts w:hint="eastAsia"/>
          <w:szCs w:val="32"/>
        </w:rPr>
        <w:t>，召开联席会</w:t>
      </w:r>
      <w:r>
        <w:rPr>
          <w:rFonts w:hint="eastAsia"/>
          <w:szCs w:val="32"/>
        </w:rPr>
        <w:t>、</w:t>
      </w:r>
      <w:r w:rsidRPr="00195EE1">
        <w:rPr>
          <w:rFonts w:hint="eastAsia"/>
          <w:szCs w:val="32"/>
        </w:rPr>
        <w:t>工作例会等形式商讨应对策略和改进措施。</w:t>
      </w:r>
    </w:p>
    <w:p w:rsidR="00BB308E" w:rsidRPr="00195EE1" w:rsidRDefault="00BB308E" w:rsidP="00222C61">
      <w:pPr>
        <w:pStyle w:val="ListParagraph1"/>
        <w:spacing w:line="580" w:lineRule="exact"/>
        <w:ind w:firstLine="640"/>
        <w:rPr>
          <w:rFonts w:ascii="Times New Roman" w:eastAsia="黑体" w:hAnsi="Times New Roman" w:cs="Times New Roman"/>
          <w:sz w:val="32"/>
          <w:szCs w:val="32"/>
        </w:rPr>
      </w:pPr>
      <w:r>
        <w:rPr>
          <w:rFonts w:ascii="Times New Roman" w:eastAsia="黑体" w:hAnsi="黑体" w:cs="Times New Roman" w:hint="eastAsia"/>
          <w:sz w:val="32"/>
          <w:szCs w:val="32"/>
        </w:rPr>
        <w:t>四、</w:t>
      </w:r>
      <w:r w:rsidRPr="00195EE1">
        <w:rPr>
          <w:rFonts w:ascii="Times New Roman" w:eastAsia="黑体" w:hAnsi="黑体" w:cs="Times New Roman" w:hint="eastAsia"/>
          <w:sz w:val="32"/>
          <w:szCs w:val="32"/>
        </w:rPr>
        <w:t>工作机制</w:t>
      </w:r>
    </w:p>
    <w:p w:rsidR="00BB308E" w:rsidRPr="00222C61" w:rsidRDefault="00BB308E" w:rsidP="00222C61">
      <w:pPr>
        <w:spacing w:line="580" w:lineRule="exact"/>
        <w:ind w:firstLineChars="200" w:firstLine="643"/>
        <w:rPr>
          <w:rFonts w:ascii="楷体_GB2312" w:eastAsia="楷体_GB2312"/>
          <w:b/>
          <w:szCs w:val="32"/>
        </w:rPr>
      </w:pPr>
      <w:r w:rsidRPr="00222C61">
        <w:rPr>
          <w:rFonts w:ascii="楷体_GB2312" w:eastAsia="楷体_GB2312" w:hint="eastAsia"/>
          <w:b/>
          <w:szCs w:val="32"/>
        </w:rPr>
        <w:t>（一）信息通报及</w:t>
      </w:r>
      <w:r w:rsidRPr="00222C61">
        <w:rPr>
          <w:rFonts w:ascii="楷体_GB2312" w:eastAsia="楷体_GB2312" w:hAnsi="黑体" w:hint="eastAsia"/>
          <w:b/>
          <w:szCs w:val="32"/>
        </w:rPr>
        <w:t>巡查机制</w:t>
      </w:r>
    </w:p>
    <w:p w:rsidR="00BB308E" w:rsidRDefault="00BB308E" w:rsidP="00222C61">
      <w:pPr>
        <w:spacing w:line="580" w:lineRule="exact"/>
        <w:ind w:firstLineChars="200" w:firstLine="640"/>
        <w:rPr>
          <w:szCs w:val="32"/>
        </w:rPr>
      </w:pPr>
      <w:r>
        <w:rPr>
          <w:szCs w:val="32"/>
        </w:rPr>
        <w:t>1.</w:t>
      </w:r>
      <w:r>
        <w:rPr>
          <w:rFonts w:hint="eastAsia"/>
          <w:szCs w:val="32"/>
        </w:rPr>
        <w:t>通报范围</w:t>
      </w:r>
    </w:p>
    <w:p w:rsidR="00BB308E" w:rsidRDefault="00BB308E" w:rsidP="00222C61">
      <w:pPr>
        <w:spacing w:line="580" w:lineRule="exact"/>
        <w:ind w:firstLineChars="200" w:firstLine="640"/>
        <w:rPr>
          <w:szCs w:val="32"/>
        </w:rPr>
      </w:pPr>
      <w:r>
        <w:rPr>
          <w:rFonts w:hint="eastAsia"/>
          <w:szCs w:val="32"/>
        </w:rPr>
        <w:t>公安机关应向检察机关通报包括刑事受案、</w:t>
      </w:r>
      <w:r w:rsidRPr="00195EE1">
        <w:rPr>
          <w:rFonts w:hint="eastAsia"/>
          <w:szCs w:val="32"/>
        </w:rPr>
        <w:t>立案</w:t>
      </w:r>
      <w:r>
        <w:rPr>
          <w:rFonts w:hint="eastAsia"/>
          <w:szCs w:val="32"/>
        </w:rPr>
        <w:t>（不立案）</w:t>
      </w:r>
      <w:r w:rsidRPr="00195EE1">
        <w:rPr>
          <w:rFonts w:hint="eastAsia"/>
          <w:szCs w:val="32"/>
        </w:rPr>
        <w:t>、</w:t>
      </w:r>
      <w:r>
        <w:rPr>
          <w:rFonts w:hint="eastAsia"/>
          <w:szCs w:val="32"/>
        </w:rPr>
        <w:t>破案、撤案数据、采取强制措施、延长羁押期限以及治安处罚等情况；检察机关应向公安机关通报审查逮捕、审查起诉、侦查活动监督等情况</w:t>
      </w:r>
      <w:r>
        <w:rPr>
          <w:szCs w:val="32"/>
        </w:rPr>
        <w:t xml:space="preserve">; </w:t>
      </w:r>
    </w:p>
    <w:p w:rsidR="00BB308E" w:rsidRDefault="00BB308E" w:rsidP="00222C61">
      <w:pPr>
        <w:spacing w:line="580" w:lineRule="exact"/>
        <w:ind w:firstLineChars="200" w:firstLine="640"/>
        <w:rPr>
          <w:szCs w:val="32"/>
        </w:rPr>
      </w:pPr>
      <w:r>
        <w:rPr>
          <w:szCs w:val="32"/>
        </w:rPr>
        <w:t>2.</w:t>
      </w:r>
      <w:r>
        <w:rPr>
          <w:rFonts w:hint="eastAsia"/>
          <w:szCs w:val="32"/>
        </w:rPr>
        <w:t>通报时间及方式</w:t>
      </w:r>
    </w:p>
    <w:p w:rsidR="00BB308E" w:rsidRDefault="00BB308E" w:rsidP="00222C61">
      <w:pPr>
        <w:spacing w:line="580" w:lineRule="exact"/>
        <w:ind w:firstLineChars="200" w:firstLine="640"/>
        <w:rPr>
          <w:szCs w:val="32"/>
        </w:rPr>
      </w:pPr>
      <w:r>
        <w:rPr>
          <w:rFonts w:hint="eastAsia"/>
          <w:szCs w:val="32"/>
        </w:rPr>
        <w:t>公安机关和检察机关对刑事案件数据实行月通报，每月的第三个工作日前通报上月情况；对重大案件、特殊情况要</w:t>
      </w:r>
      <w:r w:rsidRPr="00D12D8F">
        <w:rPr>
          <w:rFonts w:hint="eastAsia"/>
          <w:color w:val="000000"/>
          <w:szCs w:val="32"/>
        </w:rPr>
        <w:t>随</w:t>
      </w:r>
      <w:r w:rsidRPr="005A6D12">
        <w:rPr>
          <w:rFonts w:hint="eastAsia"/>
          <w:szCs w:val="32"/>
        </w:rPr>
        <w:t>时</w:t>
      </w:r>
      <w:r>
        <w:rPr>
          <w:rFonts w:hint="eastAsia"/>
          <w:szCs w:val="32"/>
        </w:rPr>
        <w:t>进行通报；对治安处罚等情况实行每季度通报，每季度的第三个工作日前通报上季度情况。</w:t>
      </w:r>
    </w:p>
    <w:p w:rsidR="00BB308E" w:rsidRDefault="00BB308E" w:rsidP="00222C61">
      <w:pPr>
        <w:spacing w:line="580" w:lineRule="exact"/>
        <w:ind w:firstLineChars="200" w:firstLine="640"/>
        <w:rPr>
          <w:szCs w:val="32"/>
        </w:rPr>
      </w:pPr>
      <w:r>
        <w:rPr>
          <w:szCs w:val="32"/>
        </w:rPr>
        <w:t>3.</w:t>
      </w:r>
      <w:r>
        <w:rPr>
          <w:rFonts w:hint="eastAsia"/>
          <w:szCs w:val="32"/>
        </w:rPr>
        <w:t>责任部门及责任人</w:t>
      </w:r>
    </w:p>
    <w:p w:rsidR="00BB308E" w:rsidRDefault="00BB308E" w:rsidP="00222C61">
      <w:pPr>
        <w:spacing w:line="580" w:lineRule="exact"/>
        <w:ind w:firstLineChars="200" w:firstLine="640"/>
        <w:rPr>
          <w:szCs w:val="32"/>
        </w:rPr>
      </w:pPr>
      <w:r>
        <w:rPr>
          <w:rFonts w:hint="eastAsia"/>
          <w:szCs w:val="32"/>
        </w:rPr>
        <w:t>市公安法制办与市检察院第一检察部为信息通报责任部门，两部门各明确一人作为联络员，</w:t>
      </w:r>
      <w:r w:rsidRPr="00195EE1">
        <w:rPr>
          <w:rFonts w:hint="eastAsia"/>
          <w:szCs w:val="32"/>
        </w:rPr>
        <w:t>主要负责信息联络、工作衔接</w:t>
      </w:r>
      <w:r>
        <w:rPr>
          <w:rFonts w:hint="eastAsia"/>
          <w:szCs w:val="32"/>
        </w:rPr>
        <w:t>等工作。</w:t>
      </w:r>
    </w:p>
    <w:p w:rsidR="00BB308E" w:rsidRPr="00AC0E11" w:rsidRDefault="00BB308E" w:rsidP="00222C61">
      <w:pPr>
        <w:spacing w:line="580" w:lineRule="exact"/>
        <w:ind w:firstLineChars="200" w:firstLine="640"/>
        <w:rPr>
          <w:szCs w:val="32"/>
        </w:rPr>
      </w:pPr>
      <w:r w:rsidRPr="00195EE1">
        <w:rPr>
          <w:rFonts w:hint="eastAsia"/>
          <w:szCs w:val="32"/>
        </w:rPr>
        <w:t>检察联络员</w:t>
      </w:r>
      <w:r>
        <w:rPr>
          <w:rFonts w:hint="eastAsia"/>
          <w:szCs w:val="32"/>
        </w:rPr>
        <w:t>同时负责</w:t>
      </w:r>
      <w:r w:rsidRPr="00195EE1">
        <w:rPr>
          <w:rFonts w:hint="eastAsia"/>
          <w:szCs w:val="32"/>
        </w:rPr>
        <w:t>引导侦查，依法开展侦查活动监督以及业务咨询和指导。通过定期走访、查阅工作台帐、查阅案卷、办案信息系统、审查同步录音录像等方式开展工作。检察联络员定期或不定期走访公安</w:t>
      </w:r>
      <w:r>
        <w:rPr>
          <w:rFonts w:hint="eastAsia"/>
          <w:szCs w:val="32"/>
        </w:rPr>
        <w:t>机关</w:t>
      </w:r>
      <w:r w:rsidRPr="00195EE1">
        <w:rPr>
          <w:rFonts w:hint="eastAsia"/>
          <w:szCs w:val="32"/>
        </w:rPr>
        <w:t>，确保每季度巡查一轮。</w:t>
      </w:r>
    </w:p>
    <w:p w:rsidR="00BB308E" w:rsidRPr="00222C61" w:rsidRDefault="00BB308E" w:rsidP="00222C61">
      <w:pPr>
        <w:spacing w:line="580" w:lineRule="exact"/>
        <w:ind w:firstLineChars="200" w:firstLine="643"/>
        <w:rPr>
          <w:rFonts w:ascii="楷体_GB2312" w:eastAsia="楷体_GB2312"/>
          <w:b/>
          <w:szCs w:val="32"/>
        </w:rPr>
      </w:pPr>
      <w:r w:rsidRPr="00222C61">
        <w:rPr>
          <w:rFonts w:ascii="楷体_GB2312" w:eastAsia="楷体_GB2312" w:hint="eastAsia"/>
          <w:b/>
          <w:szCs w:val="32"/>
        </w:rPr>
        <w:t>（二）重大案件提前介入机制</w:t>
      </w:r>
    </w:p>
    <w:p w:rsidR="00BB308E" w:rsidRPr="00195EE1" w:rsidRDefault="00BB308E" w:rsidP="00222C61">
      <w:pPr>
        <w:spacing w:line="580" w:lineRule="exact"/>
        <w:ind w:firstLineChars="200" w:firstLine="640"/>
        <w:rPr>
          <w:szCs w:val="32"/>
        </w:rPr>
      </w:pPr>
      <w:r>
        <w:rPr>
          <w:rFonts w:hint="eastAsia"/>
          <w:szCs w:val="32"/>
        </w:rPr>
        <w:t>市</w:t>
      </w:r>
      <w:r w:rsidRPr="00195EE1">
        <w:rPr>
          <w:rFonts w:hint="eastAsia"/>
          <w:szCs w:val="32"/>
        </w:rPr>
        <w:t>公安</w:t>
      </w:r>
      <w:r>
        <w:rPr>
          <w:rFonts w:hint="eastAsia"/>
          <w:szCs w:val="32"/>
        </w:rPr>
        <w:t>局</w:t>
      </w:r>
      <w:r w:rsidRPr="00195EE1">
        <w:rPr>
          <w:rFonts w:hint="eastAsia"/>
          <w:szCs w:val="32"/>
        </w:rPr>
        <w:t>认为承办的案件重大疑难复杂或有重大社会影响，可商请</w:t>
      </w:r>
      <w:r>
        <w:rPr>
          <w:rFonts w:hint="eastAsia"/>
          <w:szCs w:val="32"/>
        </w:rPr>
        <w:t>市检察院</w:t>
      </w:r>
      <w:r w:rsidRPr="00195EE1">
        <w:rPr>
          <w:rFonts w:hint="eastAsia"/>
          <w:szCs w:val="32"/>
        </w:rPr>
        <w:t>提前介入侦查。检察机关认为需要主动介入侦查的，</w:t>
      </w:r>
      <w:r>
        <w:rPr>
          <w:rFonts w:hint="eastAsia"/>
          <w:szCs w:val="32"/>
        </w:rPr>
        <w:t>公安机关</w:t>
      </w:r>
      <w:r w:rsidRPr="00195EE1">
        <w:rPr>
          <w:rFonts w:hint="eastAsia"/>
          <w:szCs w:val="32"/>
        </w:rPr>
        <w:t>应予配合。检察人员提前介入侦查，对收集和完善证据提出意见，及时发现并纠正违法行为，并对案件的定性以及对犯罪嫌疑人拟采取强制措施种类提出参考意见。</w:t>
      </w:r>
    </w:p>
    <w:p w:rsidR="00BB308E" w:rsidRPr="00222C61" w:rsidRDefault="00BB308E" w:rsidP="00222C61">
      <w:pPr>
        <w:spacing w:line="580" w:lineRule="exact"/>
        <w:ind w:firstLineChars="200" w:firstLine="643"/>
        <w:rPr>
          <w:rFonts w:ascii="楷体_GB2312" w:eastAsia="楷体_GB2312"/>
          <w:b/>
          <w:szCs w:val="32"/>
        </w:rPr>
      </w:pPr>
      <w:r w:rsidRPr="00222C61">
        <w:rPr>
          <w:rFonts w:ascii="楷体_GB2312" w:eastAsia="楷体_GB2312" w:hint="eastAsia"/>
          <w:b/>
          <w:szCs w:val="32"/>
        </w:rPr>
        <w:t>（三）联席会议制度</w:t>
      </w:r>
    </w:p>
    <w:p w:rsidR="00BB308E" w:rsidRPr="00195EE1" w:rsidRDefault="00BB308E" w:rsidP="00222C61">
      <w:pPr>
        <w:adjustRightInd w:val="0"/>
        <w:snapToGrid w:val="0"/>
        <w:spacing w:line="580" w:lineRule="exact"/>
        <w:ind w:firstLineChars="200" w:firstLine="640"/>
        <w:rPr>
          <w:szCs w:val="32"/>
        </w:rPr>
      </w:pPr>
      <w:r w:rsidRPr="00195EE1">
        <w:rPr>
          <w:rFonts w:hint="eastAsia"/>
          <w:szCs w:val="32"/>
        </w:rPr>
        <w:t>公安机关、检察机关定期或不定期召开由公安机关相关部门负责人、检察机关</w:t>
      </w:r>
      <w:r>
        <w:rPr>
          <w:rFonts w:hint="eastAsia"/>
          <w:szCs w:val="32"/>
        </w:rPr>
        <w:t>第一检察部</w:t>
      </w:r>
      <w:r w:rsidRPr="00195EE1">
        <w:rPr>
          <w:rFonts w:hint="eastAsia"/>
          <w:szCs w:val="32"/>
        </w:rPr>
        <w:t>负责人、检察联络员以及</w:t>
      </w:r>
      <w:r>
        <w:rPr>
          <w:rFonts w:hint="eastAsia"/>
          <w:szCs w:val="32"/>
        </w:rPr>
        <w:t>公</w:t>
      </w:r>
      <w:r w:rsidRPr="00195EE1">
        <w:rPr>
          <w:rFonts w:hint="eastAsia"/>
          <w:szCs w:val="32"/>
        </w:rPr>
        <w:t>、检双方一线办案人员参加的联席会议。主要讨论刑事犯罪案件的办理、执法办案中所遇到的问题等情况，学习与执法办案相关的司法解释。</w:t>
      </w:r>
    </w:p>
    <w:p w:rsidR="00BB308E" w:rsidRPr="00222C61" w:rsidRDefault="00BB308E" w:rsidP="00222C61">
      <w:pPr>
        <w:spacing w:line="580" w:lineRule="exact"/>
        <w:ind w:firstLineChars="200" w:firstLine="643"/>
        <w:rPr>
          <w:rFonts w:ascii="楷体_GB2312" w:eastAsia="楷体_GB2312"/>
          <w:b/>
          <w:szCs w:val="32"/>
        </w:rPr>
      </w:pPr>
      <w:r w:rsidRPr="00222C61">
        <w:rPr>
          <w:rFonts w:ascii="楷体_GB2312" w:eastAsia="楷体_GB2312" w:hint="eastAsia"/>
          <w:b/>
          <w:szCs w:val="32"/>
        </w:rPr>
        <w:t>（四）案件风险信息共享机制。</w:t>
      </w:r>
    </w:p>
    <w:p w:rsidR="00BB308E" w:rsidRDefault="00BB308E" w:rsidP="00222C61">
      <w:pPr>
        <w:spacing w:line="580" w:lineRule="exact"/>
        <w:ind w:firstLineChars="200" w:firstLine="640"/>
        <w:rPr>
          <w:szCs w:val="32"/>
        </w:rPr>
      </w:pPr>
      <w:r w:rsidRPr="00195EE1">
        <w:rPr>
          <w:rFonts w:hint="eastAsia"/>
          <w:szCs w:val="32"/>
        </w:rPr>
        <w:t>对公安机关所侦查案件可能存在影响社会稳定风险的，公安机关应当及时告知检察机关，检察机关应当派人提前介入，指导侦查。提请</w:t>
      </w:r>
      <w:r>
        <w:rPr>
          <w:rFonts w:hint="eastAsia"/>
          <w:szCs w:val="32"/>
        </w:rPr>
        <w:t>批准</w:t>
      </w:r>
      <w:r w:rsidRPr="00195EE1">
        <w:rPr>
          <w:rFonts w:hint="eastAsia"/>
          <w:szCs w:val="32"/>
        </w:rPr>
        <w:t>逮捕</w:t>
      </w:r>
      <w:r>
        <w:rPr>
          <w:rFonts w:hint="eastAsia"/>
          <w:szCs w:val="32"/>
        </w:rPr>
        <w:t>或移送审查起诉</w:t>
      </w:r>
      <w:r w:rsidRPr="00195EE1">
        <w:rPr>
          <w:rFonts w:hint="eastAsia"/>
          <w:szCs w:val="32"/>
        </w:rPr>
        <w:t>犯罪嫌疑人时，公安机关应当一并移送相关材料，以便检察机关有针对性地开展风险预警和防范。</w:t>
      </w:r>
    </w:p>
    <w:p w:rsidR="00BB308E" w:rsidRDefault="00BB308E" w:rsidP="00222C61">
      <w:pPr>
        <w:spacing w:line="580" w:lineRule="exact"/>
        <w:ind w:firstLineChars="200" w:firstLine="640"/>
        <w:rPr>
          <w:szCs w:val="32"/>
        </w:rPr>
      </w:pPr>
      <w:r>
        <w:rPr>
          <w:rFonts w:hint="eastAsia"/>
          <w:szCs w:val="32"/>
        </w:rPr>
        <w:t>本意见自下发之日起试行。</w:t>
      </w:r>
    </w:p>
    <w:p w:rsidR="00BB308E" w:rsidRDefault="00BB308E" w:rsidP="00222C61">
      <w:pPr>
        <w:spacing w:line="580" w:lineRule="exact"/>
        <w:ind w:firstLineChars="200" w:firstLine="640"/>
        <w:rPr>
          <w:szCs w:val="32"/>
        </w:rPr>
      </w:pPr>
    </w:p>
    <w:p w:rsidR="00BB308E" w:rsidRDefault="00BB308E" w:rsidP="00222C61">
      <w:pPr>
        <w:spacing w:line="580" w:lineRule="exact"/>
        <w:ind w:firstLineChars="200" w:firstLine="640"/>
        <w:rPr>
          <w:szCs w:val="32"/>
        </w:rPr>
      </w:pPr>
    </w:p>
    <w:p w:rsidR="00BB308E" w:rsidRDefault="00BB308E" w:rsidP="00222C61">
      <w:pPr>
        <w:spacing w:line="580" w:lineRule="exact"/>
        <w:ind w:firstLineChars="200" w:firstLine="640"/>
        <w:rPr>
          <w:szCs w:val="32"/>
        </w:rPr>
      </w:pPr>
    </w:p>
    <w:p w:rsidR="00BB308E" w:rsidRDefault="00BB308E" w:rsidP="00D66705">
      <w:pPr>
        <w:spacing w:line="580" w:lineRule="exact"/>
        <w:ind w:right="640" w:firstLineChars="200" w:firstLine="640"/>
        <w:rPr>
          <w:szCs w:val="32"/>
        </w:rPr>
      </w:pPr>
      <w:r>
        <w:rPr>
          <w:rFonts w:hint="eastAsia"/>
          <w:szCs w:val="32"/>
        </w:rPr>
        <w:t>津市市人民检察院</w:t>
      </w:r>
      <w:r>
        <w:rPr>
          <w:szCs w:val="32"/>
        </w:rPr>
        <w:t xml:space="preserve">             </w:t>
      </w:r>
      <w:r w:rsidRPr="00222C61">
        <w:rPr>
          <w:rFonts w:hint="eastAsia"/>
          <w:spacing w:val="60"/>
          <w:szCs w:val="32"/>
        </w:rPr>
        <w:t>津市市公安</w:t>
      </w:r>
      <w:r>
        <w:rPr>
          <w:rFonts w:hint="eastAsia"/>
          <w:szCs w:val="32"/>
        </w:rPr>
        <w:t>局</w:t>
      </w:r>
    </w:p>
    <w:p w:rsidR="00BB308E" w:rsidRPr="003567CB" w:rsidRDefault="00BB308E" w:rsidP="00D66705">
      <w:pPr>
        <w:spacing w:line="580" w:lineRule="exact"/>
        <w:ind w:right="640" w:firstLineChars="1684" w:firstLine="5389"/>
        <w:rPr>
          <w:rFonts w:eastAsia="楷体_GB2312"/>
          <w:szCs w:val="32"/>
        </w:rPr>
      </w:pPr>
      <w:smartTag w:uri="urn:schemas-microsoft-com:office:smarttags" w:element="chsdate">
        <w:smartTagPr>
          <w:attr w:name="IsROCDate" w:val="False"/>
          <w:attr w:name="IsLunarDate" w:val="False"/>
          <w:attr w:name="Day" w:val="7"/>
          <w:attr w:name="Month" w:val="7"/>
          <w:attr w:name="Year" w:val="2021"/>
        </w:smartTagPr>
        <w:r>
          <w:rPr>
            <w:szCs w:val="32"/>
          </w:rPr>
          <w:t>2021</w:t>
        </w:r>
        <w:r>
          <w:rPr>
            <w:rFonts w:hint="eastAsia"/>
            <w:szCs w:val="32"/>
          </w:rPr>
          <w:t>年</w:t>
        </w:r>
        <w:r>
          <w:rPr>
            <w:szCs w:val="32"/>
          </w:rPr>
          <w:t>7</w:t>
        </w:r>
        <w:r>
          <w:rPr>
            <w:rFonts w:hint="eastAsia"/>
            <w:szCs w:val="32"/>
          </w:rPr>
          <w:t>月</w:t>
        </w:r>
        <w:r>
          <w:rPr>
            <w:szCs w:val="32"/>
          </w:rPr>
          <w:t>7</w:t>
        </w:r>
        <w:r>
          <w:rPr>
            <w:rFonts w:hint="eastAsia"/>
            <w:szCs w:val="32"/>
          </w:rPr>
          <w:t>日</w:t>
        </w:r>
      </w:smartTag>
    </w:p>
    <w:sectPr w:rsidR="00BB308E" w:rsidRPr="003567CB" w:rsidSect="00222C61">
      <w:footerReference w:type="even" r:id="rId6"/>
      <w:footerReference w:type="default" r:id="rId7"/>
      <w:pgSz w:w="11906" w:h="16838" w:code="9"/>
      <w:pgMar w:top="1928" w:right="1531" w:bottom="1701" w:left="1531" w:header="851" w:footer="1644"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308E" w:rsidRDefault="00BB308E" w:rsidP="00B87335">
      <w:r>
        <w:separator/>
      </w:r>
    </w:p>
  </w:endnote>
  <w:endnote w:type="continuationSeparator" w:id="0">
    <w:p w:rsidR="00BB308E" w:rsidRDefault="00BB308E" w:rsidP="00B8733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Microsoft JhengHei">
    <w:panose1 w:val="020B0604030504040204"/>
    <w:charset w:val="88"/>
    <w:family w:val="swiss"/>
    <w:pitch w:val="variable"/>
    <w:sig w:usb0="00000087" w:usb1="288F4000" w:usb2="00000016" w:usb3="00000000" w:csb0="00100009"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308E" w:rsidRDefault="00BB308E" w:rsidP="00A62ABA">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BB308E" w:rsidRDefault="00BB308E" w:rsidP="00222C61">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308E" w:rsidRPr="00222C61" w:rsidRDefault="00BB308E" w:rsidP="00A62ABA">
    <w:pPr>
      <w:pStyle w:val="Footer"/>
      <w:framePr w:wrap="around" w:vAnchor="text" w:hAnchor="margin" w:xAlign="outside" w:y="1"/>
      <w:rPr>
        <w:rStyle w:val="PageNumber"/>
        <w:rFonts w:ascii="Times New Roman" w:hAnsi="Times New Roman"/>
        <w:sz w:val="24"/>
        <w:szCs w:val="24"/>
      </w:rPr>
    </w:pPr>
    <w:r w:rsidRPr="00222C61">
      <w:rPr>
        <w:rStyle w:val="PageNumber"/>
        <w:rFonts w:ascii="Times New Roman" w:hAnsi="Times New Roman"/>
        <w:sz w:val="24"/>
        <w:szCs w:val="24"/>
      </w:rPr>
      <w:t xml:space="preserve">— </w:t>
    </w:r>
    <w:r w:rsidRPr="00222C61">
      <w:rPr>
        <w:rStyle w:val="PageNumber"/>
        <w:rFonts w:ascii="Times New Roman" w:hAnsi="Times New Roman"/>
        <w:sz w:val="24"/>
        <w:szCs w:val="24"/>
      </w:rPr>
      <w:fldChar w:fldCharType="begin"/>
    </w:r>
    <w:r w:rsidRPr="00222C61">
      <w:rPr>
        <w:rStyle w:val="PageNumber"/>
        <w:rFonts w:ascii="Times New Roman" w:hAnsi="Times New Roman"/>
        <w:sz w:val="24"/>
        <w:szCs w:val="24"/>
      </w:rPr>
      <w:instrText xml:space="preserve">PAGE  </w:instrText>
    </w:r>
    <w:r w:rsidRPr="00222C61">
      <w:rPr>
        <w:rStyle w:val="PageNumber"/>
        <w:rFonts w:ascii="Times New Roman" w:hAnsi="Times New Roman"/>
        <w:sz w:val="24"/>
        <w:szCs w:val="24"/>
      </w:rPr>
      <w:fldChar w:fldCharType="separate"/>
    </w:r>
    <w:r>
      <w:rPr>
        <w:rStyle w:val="PageNumber"/>
        <w:rFonts w:ascii="Times New Roman" w:hAnsi="Times New Roman"/>
        <w:noProof/>
        <w:sz w:val="24"/>
        <w:szCs w:val="24"/>
      </w:rPr>
      <w:t>5</w:t>
    </w:r>
    <w:r w:rsidRPr="00222C61">
      <w:rPr>
        <w:rStyle w:val="PageNumber"/>
        <w:rFonts w:ascii="Times New Roman" w:hAnsi="Times New Roman"/>
        <w:sz w:val="24"/>
        <w:szCs w:val="24"/>
      </w:rPr>
      <w:fldChar w:fldCharType="end"/>
    </w:r>
    <w:r w:rsidRPr="00222C61">
      <w:rPr>
        <w:rStyle w:val="PageNumber"/>
        <w:rFonts w:ascii="Times New Roman" w:hAnsi="Times New Roman"/>
        <w:sz w:val="24"/>
        <w:szCs w:val="24"/>
      </w:rPr>
      <w:t xml:space="preserve"> —</w:t>
    </w:r>
  </w:p>
  <w:p w:rsidR="00BB308E" w:rsidRDefault="00BB308E" w:rsidP="00222C61">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308E" w:rsidRDefault="00BB308E" w:rsidP="00B87335">
      <w:r>
        <w:separator/>
      </w:r>
    </w:p>
  </w:footnote>
  <w:footnote w:type="continuationSeparator" w:id="0">
    <w:p w:rsidR="00BB308E" w:rsidRDefault="00BB308E" w:rsidP="00B8733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87335"/>
    <w:rsid w:val="00002AE9"/>
    <w:rsid w:val="000075BD"/>
    <w:rsid w:val="00082E4A"/>
    <w:rsid w:val="000D79C3"/>
    <w:rsid w:val="000E1537"/>
    <w:rsid w:val="000F3727"/>
    <w:rsid w:val="001501E9"/>
    <w:rsid w:val="001807B5"/>
    <w:rsid w:val="00181544"/>
    <w:rsid w:val="00195EE1"/>
    <w:rsid w:val="001A3F7F"/>
    <w:rsid w:val="001D3675"/>
    <w:rsid w:val="001D3823"/>
    <w:rsid w:val="001E30FB"/>
    <w:rsid w:val="00201C8A"/>
    <w:rsid w:val="00222C61"/>
    <w:rsid w:val="00262F22"/>
    <w:rsid w:val="002708F0"/>
    <w:rsid w:val="0027262D"/>
    <w:rsid w:val="002B3DE6"/>
    <w:rsid w:val="002C3CD9"/>
    <w:rsid w:val="002D1728"/>
    <w:rsid w:val="003173E2"/>
    <w:rsid w:val="00322792"/>
    <w:rsid w:val="0032630D"/>
    <w:rsid w:val="003567CB"/>
    <w:rsid w:val="003A70AF"/>
    <w:rsid w:val="003B031C"/>
    <w:rsid w:val="003B2534"/>
    <w:rsid w:val="003F49D1"/>
    <w:rsid w:val="00427E60"/>
    <w:rsid w:val="00455628"/>
    <w:rsid w:val="004556E1"/>
    <w:rsid w:val="00476B35"/>
    <w:rsid w:val="004D0A5A"/>
    <w:rsid w:val="005017C4"/>
    <w:rsid w:val="00510F1D"/>
    <w:rsid w:val="00513A72"/>
    <w:rsid w:val="00524AB9"/>
    <w:rsid w:val="0052682A"/>
    <w:rsid w:val="005369DA"/>
    <w:rsid w:val="00550FD1"/>
    <w:rsid w:val="00553E76"/>
    <w:rsid w:val="00563C95"/>
    <w:rsid w:val="005A6D12"/>
    <w:rsid w:val="005D4721"/>
    <w:rsid w:val="005E15CE"/>
    <w:rsid w:val="00625CED"/>
    <w:rsid w:val="006329A3"/>
    <w:rsid w:val="0068314F"/>
    <w:rsid w:val="006E5092"/>
    <w:rsid w:val="007021DA"/>
    <w:rsid w:val="00704688"/>
    <w:rsid w:val="00722092"/>
    <w:rsid w:val="00724338"/>
    <w:rsid w:val="007A0FBD"/>
    <w:rsid w:val="007B14F1"/>
    <w:rsid w:val="007B3529"/>
    <w:rsid w:val="007B616D"/>
    <w:rsid w:val="007C4211"/>
    <w:rsid w:val="007F2A46"/>
    <w:rsid w:val="00813B29"/>
    <w:rsid w:val="00846F67"/>
    <w:rsid w:val="00871DA1"/>
    <w:rsid w:val="00882FA1"/>
    <w:rsid w:val="00887C68"/>
    <w:rsid w:val="00895CA5"/>
    <w:rsid w:val="008B4026"/>
    <w:rsid w:val="008C6828"/>
    <w:rsid w:val="00935FD5"/>
    <w:rsid w:val="00961B82"/>
    <w:rsid w:val="00961DBC"/>
    <w:rsid w:val="00991BDA"/>
    <w:rsid w:val="009A5D1C"/>
    <w:rsid w:val="009B0238"/>
    <w:rsid w:val="009B5616"/>
    <w:rsid w:val="009B5C7C"/>
    <w:rsid w:val="009C1C3E"/>
    <w:rsid w:val="009D3DEE"/>
    <w:rsid w:val="009F6911"/>
    <w:rsid w:val="00A157EA"/>
    <w:rsid w:val="00A343B4"/>
    <w:rsid w:val="00A5261A"/>
    <w:rsid w:val="00A55CEB"/>
    <w:rsid w:val="00A62ABA"/>
    <w:rsid w:val="00A85738"/>
    <w:rsid w:val="00AA1B5D"/>
    <w:rsid w:val="00AA394E"/>
    <w:rsid w:val="00AC0399"/>
    <w:rsid w:val="00AC0E11"/>
    <w:rsid w:val="00AC4CA6"/>
    <w:rsid w:val="00AE212A"/>
    <w:rsid w:val="00AF7BC4"/>
    <w:rsid w:val="00B34129"/>
    <w:rsid w:val="00B3412E"/>
    <w:rsid w:val="00B87335"/>
    <w:rsid w:val="00BB308E"/>
    <w:rsid w:val="00BB7FDB"/>
    <w:rsid w:val="00BD20B1"/>
    <w:rsid w:val="00C233B6"/>
    <w:rsid w:val="00C30037"/>
    <w:rsid w:val="00C41A2F"/>
    <w:rsid w:val="00C42A21"/>
    <w:rsid w:val="00C51198"/>
    <w:rsid w:val="00C80952"/>
    <w:rsid w:val="00CB05F8"/>
    <w:rsid w:val="00CE7F8D"/>
    <w:rsid w:val="00D12D8F"/>
    <w:rsid w:val="00D25B7B"/>
    <w:rsid w:val="00D36D97"/>
    <w:rsid w:val="00D57129"/>
    <w:rsid w:val="00D66705"/>
    <w:rsid w:val="00D969B1"/>
    <w:rsid w:val="00E03148"/>
    <w:rsid w:val="00E06BAA"/>
    <w:rsid w:val="00E1328B"/>
    <w:rsid w:val="00E20421"/>
    <w:rsid w:val="00E25D51"/>
    <w:rsid w:val="00E566EF"/>
    <w:rsid w:val="00E72DB4"/>
    <w:rsid w:val="00E80508"/>
    <w:rsid w:val="00EA61A6"/>
    <w:rsid w:val="00EB153A"/>
    <w:rsid w:val="00EC447F"/>
    <w:rsid w:val="00F10203"/>
    <w:rsid w:val="00F857C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7335"/>
    <w:pPr>
      <w:widowControl w:val="0"/>
      <w:jc w:val="both"/>
    </w:pPr>
    <w:rPr>
      <w:rFonts w:ascii="Times New Roman" w:eastAsia="仿宋_GB2312" w:hAnsi="Times New Roman"/>
      <w:sz w:val="32"/>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B87335"/>
    <w:pPr>
      <w:pBdr>
        <w:bottom w:val="single" w:sz="6" w:space="1" w:color="auto"/>
      </w:pBdr>
      <w:tabs>
        <w:tab w:val="center" w:pos="4153"/>
        <w:tab w:val="right" w:pos="8306"/>
      </w:tabs>
      <w:snapToGrid w:val="0"/>
      <w:jc w:val="center"/>
    </w:pPr>
    <w:rPr>
      <w:rFonts w:ascii="Calibri" w:eastAsia="宋体" w:hAnsi="Calibri"/>
      <w:sz w:val="18"/>
      <w:szCs w:val="18"/>
    </w:rPr>
  </w:style>
  <w:style w:type="character" w:customStyle="1" w:styleId="HeaderChar">
    <w:name w:val="Header Char"/>
    <w:basedOn w:val="DefaultParagraphFont"/>
    <w:link w:val="Header"/>
    <w:uiPriority w:val="99"/>
    <w:semiHidden/>
    <w:locked/>
    <w:rsid w:val="00B87335"/>
    <w:rPr>
      <w:rFonts w:cs="Times New Roman"/>
      <w:sz w:val="18"/>
      <w:szCs w:val="18"/>
    </w:rPr>
  </w:style>
  <w:style w:type="paragraph" w:styleId="Footer">
    <w:name w:val="footer"/>
    <w:basedOn w:val="Normal"/>
    <w:link w:val="FooterChar"/>
    <w:uiPriority w:val="99"/>
    <w:semiHidden/>
    <w:rsid w:val="00B87335"/>
    <w:pPr>
      <w:tabs>
        <w:tab w:val="center" w:pos="4153"/>
        <w:tab w:val="right" w:pos="8306"/>
      </w:tabs>
      <w:snapToGrid w:val="0"/>
      <w:jc w:val="left"/>
    </w:pPr>
    <w:rPr>
      <w:rFonts w:ascii="Calibri" w:eastAsia="宋体" w:hAnsi="Calibri"/>
      <w:sz w:val="18"/>
      <w:szCs w:val="18"/>
    </w:rPr>
  </w:style>
  <w:style w:type="character" w:customStyle="1" w:styleId="FooterChar">
    <w:name w:val="Footer Char"/>
    <w:basedOn w:val="DefaultParagraphFont"/>
    <w:link w:val="Footer"/>
    <w:uiPriority w:val="99"/>
    <w:semiHidden/>
    <w:locked/>
    <w:rsid w:val="00B87335"/>
    <w:rPr>
      <w:rFonts w:cs="Times New Roman"/>
      <w:sz w:val="18"/>
      <w:szCs w:val="18"/>
    </w:rPr>
  </w:style>
  <w:style w:type="paragraph" w:customStyle="1" w:styleId="ListParagraph1">
    <w:name w:val="List Paragraph1"/>
    <w:basedOn w:val="Normal"/>
    <w:uiPriority w:val="99"/>
    <w:rsid w:val="00B87335"/>
    <w:pPr>
      <w:ind w:firstLineChars="200" w:firstLine="420"/>
    </w:pPr>
    <w:rPr>
      <w:rFonts w:ascii="Calibri" w:eastAsia="宋体" w:hAnsi="Calibri" w:cs="Calibri"/>
      <w:sz w:val="21"/>
      <w:szCs w:val="21"/>
    </w:rPr>
  </w:style>
  <w:style w:type="paragraph" w:styleId="BodyText">
    <w:name w:val="Body Text"/>
    <w:basedOn w:val="Normal"/>
    <w:link w:val="BodyTextChar"/>
    <w:uiPriority w:val="99"/>
    <w:rsid w:val="00222C61"/>
    <w:pPr>
      <w:autoSpaceDE w:val="0"/>
      <w:autoSpaceDN w:val="0"/>
      <w:jc w:val="left"/>
    </w:pPr>
    <w:rPr>
      <w:rFonts w:ascii="Microsoft JhengHei" w:eastAsia="Microsoft JhengHei" w:hAnsi="Microsoft JhengHei" w:cs="Microsoft JhengHei"/>
      <w:b/>
      <w:bCs/>
      <w:kern w:val="0"/>
      <w:szCs w:val="32"/>
      <w:lang w:val="zh-CN"/>
    </w:rPr>
  </w:style>
  <w:style w:type="character" w:customStyle="1" w:styleId="BodyTextChar">
    <w:name w:val="Body Text Char"/>
    <w:basedOn w:val="DefaultParagraphFont"/>
    <w:link w:val="BodyText"/>
    <w:uiPriority w:val="99"/>
    <w:semiHidden/>
    <w:locked/>
    <w:rPr>
      <w:rFonts w:ascii="Times New Roman" w:eastAsia="仿宋_GB2312" w:hAnsi="Times New Roman" w:cs="Times New Roman"/>
      <w:sz w:val="20"/>
      <w:szCs w:val="20"/>
    </w:rPr>
  </w:style>
  <w:style w:type="character" w:styleId="PageNumber">
    <w:name w:val="page number"/>
    <w:basedOn w:val="DefaultParagraphFont"/>
    <w:uiPriority w:val="99"/>
    <w:rsid w:val="00222C61"/>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947</TotalTime>
  <Pages>5</Pages>
  <Words>301</Words>
  <Characters>1717</Characters>
  <Application>Microsoft Office Outlook</Application>
  <DocSecurity>0</DocSecurity>
  <Lines>0</Lines>
  <Paragraphs>0</Paragraphs>
  <ScaleCrop>false</ScaleCrop>
  <Company>China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周伟</dc:creator>
  <cp:keywords/>
  <dc:description/>
  <cp:lastModifiedBy>Administrator</cp:lastModifiedBy>
  <cp:revision>246</cp:revision>
  <cp:lastPrinted>2021-07-07T04:07:00Z</cp:lastPrinted>
  <dcterms:created xsi:type="dcterms:W3CDTF">2021-06-04T09:05:00Z</dcterms:created>
  <dcterms:modified xsi:type="dcterms:W3CDTF">2021-07-08T09:50:00Z</dcterms:modified>
</cp:coreProperties>
</file>